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4677CB4F" w:rsidR="001C2A1D" w:rsidRP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councillor;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0C635037"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   )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67464BAB"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w:t>
            </w:r>
            <w:r w:rsidRPr="001C2A1D">
              <w:rPr>
                <w:rFonts w:ascii="Arial" w:hAnsi="Arial" w:cs="Arial"/>
                <w:color w:val="000000"/>
                <w:sz w:val="22"/>
                <w:szCs w:val="22"/>
                <w:lang w:bidi="en-US"/>
              </w:rPr>
              <w:lastRenderedPageBreak/>
              <w:t xml:space="preserve">accordance with standing order 3(e) shall not exceed (   )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a member of the public shall not speak for more than (   )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0F2AE2D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stand when requesting to speak and when speaking (except when a person has a disability or is likely to suffer discomfort)] OR [A person shall raise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Subject to a meeting being quorate, all questions at a meeting shall be </w:t>
            </w:r>
            <w:r w:rsidRPr="001C2A1D">
              <w:rPr>
                <w:rFonts w:ascii="Arial" w:hAnsi="Arial" w:cs="Arial"/>
                <w:b/>
                <w:bCs/>
                <w:color w:val="000000"/>
                <w:sz w:val="22"/>
                <w:szCs w:val="22"/>
                <w:lang w:bidi="en-US"/>
              </w:rPr>
              <w:lastRenderedPageBreak/>
              <w:t xml:space="preserve">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r w:rsidRPr="001C2A1D">
              <w:rPr>
                <w:rFonts w:ascii="Arial" w:hAnsi="Arial" w:cs="Arial"/>
                <w:i/>
                <w:iCs/>
                <w:color w:val="000000"/>
                <w:sz w:val="22"/>
                <w:szCs w:val="22"/>
                <w:lang w:bidi="en-US"/>
              </w:rPr>
              <w:t>i</w:t>
            </w:r>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4d(viii)  for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If a meeting is or becomes inquorate no business shall be transacted</w:t>
            </w:r>
            <w:r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lastRenderedPageBreak/>
              <w:t xml:space="preserve">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meeting shall not exceed a period of (   )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lastRenderedPageBreak/>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09C0ACCF"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  </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   ) members of the committee [or the sub-committee], any (  </w:t>
      </w:r>
      <w:r w:rsidR="004B1097" w:rsidRPr="001C2A1D">
        <w:rPr>
          <w:rFonts w:ascii="Arial" w:hAnsi="Arial" w:cs="Arial"/>
          <w:color w:val="000000"/>
          <w:sz w:val="22"/>
          <w:szCs w:val="22"/>
          <w:lang w:bidi="en-US"/>
        </w:rPr>
        <w:t xml:space="preserve"> )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   )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lastRenderedPageBreak/>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w:t>
      </w:r>
      <w:r w:rsidR="00C63DC0"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r w:rsidRPr="001C2A1D">
              <w:rPr>
                <w:rFonts w:ascii="Arial" w:hAnsi="Arial" w:cs="Arial"/>
                <w:color w:val="000000"/>
                <w:sz w:val="22"/>
                <w:szCs w:val="22"/>
                <w:lang w:bidi="en-US"/>
              </w:rPr>
              <w:t>i).</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2F4021C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of this meeting does not believe that the minutes of the meeting of the (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t>
      </w:r>
      <w:r w:rsidRPr="001C2A1D">
        <w:rPr>
          <w:rFonts w:ascii="Arial" w:hAnsi="Arial" w:cs="Arial"/>
          <w:bCs/>
          <w:color w:val="000000"/>
          <w:spacing w:val="-2"/>
          <w:sz w:val="22"/>
          <w:szCs w:val="22"/>
          <w:lang w:bidi="en-US"/>
        </w:rPr>
        <w:lastRenderedPageBreak/>
        <w:t>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(i)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75964409"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  )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 xml:space="preserve">ee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14:paraId="3815A250" w14:textId="08A244BE"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OR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D9494D"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 OR [(   ) committee];</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1C2A1D">
        <w:rPr>
          <w:rFonts w:ascii="Arial" w:hAnsi="Arial" w:cs="Arial"/>
          <w:color w:val="000000"/>
          <w:sz w:val="22"/>
          <w:szCs w:val="22"/>
          <w:lang w:bidi="en-US"/>
        </w:rPr>
        <w:lastRenderedPageBreak/>
        <w:t>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(i)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lastRenderedPageBreak/>
        <w:t>HANDLING STAFF MATTERS</w:t>
      </w:r>
      <w:bookmarkEnd w:id="135"/>
      <w:bookmarkEnd w:id="136"/>
      <w:bookmarkEnd w:id="137"/>
      <w:bookmarkEnd w:id="138"/>
      <w:bookmarkEnd w:id="139"/>
      <w:bookmarkEnd w:id="140"/>
      <w:r w:rsidR="00616F7D">
        <w:rPr>
          <w:rFonts w:ascii="Arial" w:hAnsi="Arial" w:cs="Arial"/>
          <w:b/>
          <w:szCs w:val="22"/>
        </w:rPr>
        <w:br/>
      </w:r>
    </w:p>
    <w:p w14:paraId="4C245782"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F45D8E" w:rsidRPr="001C2A1D">
        <w:rPr>
          <w:rFonts w:ascii="Arial" w:hAnsi="Arial" w:cs="Arial"/>
          <w:color w:val="000000"/>
          <w:sz w:val="22"/>
          <w:szCs w:val="22"/>
          <w:lang w:bidi="en-US"/>
        </w:rPr>
        <w:t>[</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r w:rsidR="00F45D8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OR [the (   ) committee] OR [the (   ) sub-committee] is subject to standing order </w:t>
      </w:r>
      <w:r w:rsidR="005A405C" w:rsidRPr="001C2A1D">
        <w:rPr>
          <w:rFonts w:ascii="Arial" w:hAnsi="Arial" w:cs="Arial"/>
          <w:color w:val="000000"/>
          <w:sz w:val="22"/>
          <w:szCs w:val="22"/>
          <w:lang w:bidi="en-US"/>
        </w:rPr>
        <w:t>11.</w:t>
      </w:r>
    </w:p>
    <w:p w14:paraId="293DEDAB" w14:textId="53E72C83"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or, 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2D3AF8CB"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   ) committee] OR [the (   ) sub-committee]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 (   ) committee] OR [the (   ) sub-committee]. </w:t>
      </w:r>
    </w:p>
    <w:p w14:paraId="1A945AB9" w14:textId="77C0B4B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or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in respect of an informal or formal grievance matter, and this matter shall be reported back and progressed by resolution of [the (   ) committee] OR [the (   ) sub-committee].</w:t>
      </w:r>
    </w:p>
    <w:p w14:paraId="48692D72" w14:textId="404220D5"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this shall be communicated to another member of [the (   ) committee] OR [the (   ) sub-committee], which shall be reported back and progressed by resolution of [the (   ) committee] OR [the (   ) sub-committee].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 xml:space="preserve">publish information in accordance with its publication scheme and </w:t>
      </w:r>
      <w:r w:rsidR="00CB4ED5" w:rsidRPr="001C2A1D">
        <w:rPr>
          <w:rFonts w:ascii="Arial" w:hAnsi="Arial" w:cs="Arial"/>
          <w:b/>
          <w:color w:val="000000"/>
          <w:sz w:val="22"/>
          <w:szCs w:val="22"/>
          <w:lang w:bidi="en-US"/>
        </w:rPr>
        <w:lastRenderedPageBreak/>
        <w:t>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lastRenderedPageBreak/>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lastRenderedPageBreak/>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F86A" w14:textId="77777777" w:rsidR="00F00C0B" w:rsidRDefault="00F00C0B" w:rsidP="00E77177">
      <w:r>
        <w:separator/>
      </w:r>
    </w:p>
  </w:endnote>
  <w:endnote w:type="continuationSeparator" w:id="0">
    <w:p w14:paraId="39DF97D4" w14:textId="77777777" w:rsidR="00F00C0B" w:rsidRDefault="00F00C0B"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207020605060204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8B24" w14:textId="77777777" w:rsidR="00F00C0B" w:rsidRDefault="00F00C0B" w:rsidP="00E77177">
      <w:r>
        <w:separator/>
      </w:r>
    </w:p>
  </w:footnote>
  <w:footnote w:type="continuationSeparator" w:id="0">
    <w:p w14:paraId="5E48E6DD" w14:textId="77777777" w:rsidR="00F00C0B" w:rsidRDefault="00F00C0B"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8" ma:contentTypeDescription="Create a new document." ma:contentTypeScope="" ma:versionID="9d9d1a2536ee7e1e579a0af5571a9081">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e4107c4dcb65ffbb189355ce0fa6204b"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f5b5d5-b811-401f-b3da-ff951c7a87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32e260-ff2e-4080-8774-80236a7d8a20}" ma:internalName="TaxCatchAll" ma:showField="CatchAllData" ma:web="f0a8d02b-2d38-4fe2-ab13-eb735b152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9e3f07-31ab-45be-a345-8534b1ac0c69">
      <Terms xmlns="http://schemas.microsoft.com/office/infopath/2007/PartnerControls"/>
    </lcf76f155ced4ddcb4097134ff3c332f>
    <TaxCatchAll xmlns="f0a8d02b-2d38-4fe2-ab13-eb735b152d23" xsi:nil="true"/>
    <SharedWithUsers xmlns="f0a8d02b-2d38-4fe2-ab13-eb735b152d23">
      <UserInfo>
        <DisplayName>Sophie Harding</DisplayName>
        <AccountId>542</AccountId>
        <AccountType/>
      </UserInfo>
    </SharedWithUsers>
  </documentManagement>
</p:properties>
</file>

<file path=customXml/itemProps1.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2.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3.xml><?xml version="1.0" encoding="utf-8"?>
<ds:datastoreItem xmlns:ds="http://schemas.openxmlformats.org/officeDocument/2006/customXml" ds:itemID="{DF60C22A-7AF5-417E-A5A0-AF41629C3C5D}"/>
</file>

<file path=customXml/itemProps4.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7409</Words>
  <Characters>42232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Rajiv Dudakia</cp:lastModifiedBy>
  <cp:revision>9</cp:revision>
  <cp:lastPrinted>2018-03-14T11:56:00Z</cp:lastPrinted>
  <dcterms:created xsi:type="dcterms:W3CDTF">2022-04-28T16:08:00Z</dcterms:created>
  <dcterms:modified xsi:type="dcterms:W3CDTF">2022-06-07T19:28:00Z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y fmtid="{D5CDD505-2E9C-101B-9397-08002B2CF9AE}" pid="3" name="Order">
    <vt:r8>253900</vt:r8>
  </property>
</Properties>
</file>