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3052" w14:textId="1970E4CA" w:rsidR="003224B4" w:rsidRPr="007F1873"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8F2C1C"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8F2C1C"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17BC1D47"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councillor or a non-councillor with voting rights who has a disclosable pecuniary </w:t>
            </w:r>
            <w:proofErr w:type="gramStart"/>
            <w:r w:rsidRPr="00D13515">
              <w:rPr>
                <w:rFonts w:ascii="Arial" w:hAnsi="Arial" w:cs="Arial"/>
                <w:b/>
                <w:bCs/>
                <w:color w:val="000000"/>
                <w:sz w:val="22"/>
                <w:szCs w:val="22"/>
                <w:lang w:bidi="en-US"/>
              </w:rPr>
              <w:t>interest</w:t>
            </w:r>
            <w:proofErr w:type="gramEnd"/>
            <w:r w:rsidRPr="00D13515">
              <w:rPr>
                <w:rFonts w:ascii="Arial" w:hAnsi="Arial" w:cs="Arial"/>
                <w:b/>
                <w:bCs/>
                <w:color w:val="000000"/>
                <w:sz w:val="22"/>
                <w:szCs w:val="22"/>
                <w:lang w:bidi="en-US"/>
              </w:rPr>
              <w:t xml:space="preserve">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proofErr w:type="gramStart"/>
      <w:r w:rsidR="00B42F59">
        <w:rPr>
          <w:rFonts w:ascii="Arial" w:hAnsi="Arial" w:cs="Arial"/>
          <w:b/>
          <w:szCs w:val="22"/>
        </w:rPr>
        <w:t>c</w:t>
      </w:r>
      <w:r w:rsidRPr="00D13515">
        <w:rPr>
          <w:rFonts w:ascii="Arial" w:hAnsi="Arial" w:cs="Arial"/>
          <w:b/>
          <w:szCs w:val="22"/>
        </w:rPr>
        <w:t>ommittees</w:t>
      </w:r>
      <w:proofErr w:type="gramEnd"/>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414777F1"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77777777"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lastRenderedPageBreak/>
        <w:t>electors;</w:t>
      </w:r>
      <w:proofErr w:type="gramEnd"/>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is subject to standing order </w:t>
      </w:r>
      <w:r w:rsidR="005A405C" w:rsidRPr="00D13515">
        <w:rPr>
          <w:rFonts w:ascii="Arial" w:hAnsi="Arial" w:cs="Arial"/>
          <w:color w:val="000000"/>
          <w:sz w:val="22"/>
          <w:szCs w:val="22"/>
          <w:lang w:bidi="en-US"/>
        </w:rPr>
        <w:t>11.</w:t>
      </w:r>
    </w:p>
    <w:p w14:paraId="293DEDAB"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w:t>
      </w:r>
    </w:p>
    <w:p w14:paraId="1A945AB9"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2C1C"/>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2.xml><?xml version="1.0" encoding="utf-8"?>
<ds:datastoreItem xmlns:ds="http://schemas.openxmlformats.org/officeDocument/2006/customXml" ds:itemID="{D9207FFB-7C28-4968-95C2-7C0F2348ED61}"/>
</file>

<file path=customXml/itemProps3.xml><?xml version="1.0" encoding="utf-8"?>
<ds:datastoreItem xmlns:ds="http://schemas.openxmlformats.org/officeDocument/2006/customXml" ds:itemID="{C2841467-B72E-4F3A-A7D2-8DDC4942A5A8}"/>
</file>

<file path=customXml/itemProps4.xml><?xml version="1.0" encoding="utf-8"?>
<ds:datastoreItem xmlns:ds="http://schemas.openxmlformats.org/officeDocument/2006/customXml" ds:itemID="{4B466532-D3D8-4108-A569-C502697E383B}"/>
</file>

<file path=docProps/app.xml><?xml version="1.0" encoding="utf-8"?>
<Properties xmlns="http://schemas.openxmlformats.org/officeDocument/2006/extended-properties" xmlns:vt="http://schemas.openxmlformats.org/officeDocument/2006/docPropsVTypes">
  <Template>Normal</Template>
  <TotalTime>0</TotalTime>
  <Pages>23</Pages>
  <Words>8387</Words>
  <Characters>42258</Characters>
  <Application>Microsoft Office Word</Application>
  <DocSecurity>0</DocSecurity>
  <Lines>352</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Danny Moody</cp:lastModifiedBy>
  <cp:revision>2</cp:revision>
  <cp:lastPrinted>2018-03-14T11:56:00Z</cp:lastPrinted>
  <dcterms:created xsi:type="dcterms:W3CDTF">2021-02-23T21:49:00Z</dcterms:created>
  <dcterms:modified xsi:type="dcterms:W3CDTF">2021-02-23T21:49:00Z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